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hd w:val="clear" w:fill="FCFDFE"/>
        <w:spacing w:lineRule="auto" w:line="276" w:before="0" w:after="200"/>
        <w:jc w:val="center"/>
        <w:rPr>
          <w:rFonts w:ascii="Calibri" w:hAnsi="Calibri" w:eastAsia="Calibri" w:cs="Calibri"/>
          <w:b/>
          <w:bCs/>
          <w:sz w:val="28"/>
          <w:szCs w:val="28"/>
          <w:u w:val="single"/>
        </w:rPr>
      </w:pPr>
      <w:r>
        <w:rPr>
          <w:rFonts w:eastAsia="Calibri" w:cs="Calibri" w:ascii="Calibri" w:hAnsi="Calibri"/>
          <w:b/>
          <w:bCs/>
          <w:sz w:val="28"/>
          <w:szCs w:val="28"/>
          <w:u w:val="single"/>
        </w:rPr>
        <w:t>NOTIFICACIÓN DE RE</w:t>
      </w:r>
      <w:r>
        <w:rPr>
          <w:rFonts w:eastAsia="Calibri" w:cs="Calibri" w:ascii="Calibri" w:hAnsi="Calibri"/>
          <w:b/>
          <w:bCs/>
          <w:sz w:val="28"/>
          <w:szCs w:val="28"/>
          <w:u w:val="single"/>
        </w:rPr>
        <w:t>S</w:t>
      </w:r>
      <w:r>
        <w:rPr>
          <w:rFonts w:eastAsia="Calibri" w:cs="Calibri" w:ascii="Calibri" w:hAnsi="Calibri"/>
          <w:b/>
          <w:bCs/>
          <w:sz w:val="28"/>
          <w:szCs w:val="28"/>
          <w:u w:val="single"/>
        </w:rPr>
        <w:t>OLUCIÓN POR EDICTOS:</w:t>
      </w:r>
    </w:p>
    <w:p>
      <w:pPr>
        <w:pStyle w:val="normal1"/>
        <w:shd w:val="clear" w:fill="FCFDFE"/>
        <w:spacing w:lineRule="auto" w:line="276" w:before="0" w:after="200"/>
        <w:jc w:val="center"/>
        <w:rPr>
          <w:rFonts w:ascii="Calibri" w:hAnsi="Calibri" w:eastAsia="Calibri" w:cs="Calibri"/>
          <w:b/>
          <w:bCs/>
          <w:sz w:val="24"/>
          <w:szCs w:val="24"/>
        </w:rPr>
      </w:pPr>
      <w:r>
        <w:rPr>
          <w:rFonts w:eastAsia="Calibri" w:cs="Calibri" w:ascii="Calibri" w:hAnsi="Calibri"/>
          <w:b/>
          <w:bCs/>
          <w:sz w:val="24"/>
          <w:szCs w:val="24"/>
        </w:rPr>
        <w:t xml:space="preserve">La Intendencia Departamental de Maldonado notifica a la empresa </w:t>
      </w:r>
      <w:r>
        <w:rPr>
          <w:rFonts w:eastAsia="Calibri" w:cs="Calibri" w:ascii="Calibri" w:hAnsi="Calibri"/>
          <w:b/>
          <w:bCs/>
          <w:i/>
          <w:iCs/>
          <w:sz w:val="18"/>
          <w:szCs w:val="18"/>
          <w:shd w:fill="F8FBF9" w:val="clear"/>
        </w:rPr>
        <w:t>COOPERATIVA COVISIP II</w:t>
      </w:r>
      <w:r>
        <w:rPr>
          <w:rFonts w:eastAsia="Verdana" w:cs="Verdana" w:ascii="Verdana" w:hAnsi="Verdana"/>
          <w:b/>
          <w:bCs/>
          <w:i/>
          <w:iCs/>
          <w:sz w:val="15"/>
          <w:szCs w:val="15"/>
          <w:shd w:fill="FFFFFF" w:val="clear"/>
        </w:rPr>
        <w:t xml:space="preserve"> (CO.VI.SIP.II)</w:t>
      </w:r>
      <w:r>
        <w:rPr>
          <w:rFonts w:eastAsia="Calibri" w:cs="Calibri" w:ascii="Calibri" w:hAnsi="Calibri"/>
          <w:b/>
          <w:bCs/>
          <w:sz w:val="24"/>
          <w:szCs w:val="24"/>
        </w:rPr>
        <w:t xml:space="preserve"> la Resolución </w:t>
      </w:r>
      <w:r>
        <w:rPr>
          <w:rFonts w:eastAsia="Calibri" w:cs="Calibri" w:ascii="Calibri" w:hAnsi="Calibri"/>
          <w:b/>
          <w:bCs/>
          <w:sz w:val="24"/>
          <w:szCs w:val="24"/>
        </w:rPr>
        <w:t>04303</w:t>
      </w:r>
      <w:r>
        <w:rPr>
          <w:rFonts w:eastAsia="Calibri" w:cs="Calibri" w:ascii="Calibri" w:hAnsi="Calibri"/>
          <w:b/>
          <w:bCs/>
          <w:sz w:val="24"/>
          <w:szCs w:val="24"/>
        </w:rPr>
        <w:t>/202</w:t>
      </w:r>
      <w:r>
        <w:rPr>
          <w:rFonts w:eastAsia="Calibri" w:cs="Calibri" w:ascii="Calibri" w:hAnsi="Calibri"/>
          <w:b/>
          <w:bCs/>
          <w:sz w:val="24"/>
          <w:szCs w:val="24"/>
        </w:rPr>
        <w:t>6</w:t>
      </w:r>
      <w:r>
        <w:rPr>
          <w:rFonts w:eastAsia="Calibri" w:cs="Calibri" w:ascii="Calibri" w:hAnsi="Calibri"/>
          <w:b/>
          <w:bCs/>
          <w:sz w:val="24"/>
          <w:szCs w:val="24"/>
        </w:rPr>
        <w:t xml:space="preserve"> del Departamento de Ingresos Públicos dictada en el expediente administrativo 2</w:t>
      </w:r>
      <w:r>
        <w:rPr>
          <w:rFonts w:eastAsia="Calibri" w:cs="Calibri" w:ascii="Calibri" w:hAnsi="Calibri"/>
          <w:b/>
          <w:bCs/>
          <w:sz w:val="24"/>
          <w:szCs w:val="24"/>
        </w:rPr>
        <w:t>009-88-01-03933</w:t>
      </w:r>
      <w:r>
        <w:rPr>
          <w:rFonts w:eastAsia="Calibri" w:cs="Calibri" w:ascii="Calibri" w:hAnsi="Calibri"/>
          <w:b/>
          <w:bCs/>
          <w:sz w:val="24"/>
          <w:szCs w:val="24"/>
        </w:rPr>
        <w:t>, al amparo de lo dispuesto por el art. 51 del Código Tributario y demás normas concordantes y complementarias.</w:t>
      </w:r>
    </w:p>
    <w:p>
      <w:pPr>
        <w:pStyle w:val="normal1"/>
        <w:shd w:val="clear" w:fill="FCFDFE"/>
        <w:spacing w:lineRule="auto" w:line="276" w:before="0" w:after="200"/>
        <w:jc w:val="center"/>
        <w:rPr>
          <w:rFonts w:ascii="Calibri" w:hAnsi="Calibri" w:eastAsia="Calibri" w:cs="Calibri"/>
          <w:b/>
          <w:bCs/>
          <w:sz w:val="24"/>
          <w:szCs w:val="24"/>
        </w:rPr>
      </w:pPr>
      <w:r>
        <w:rPr>
          <w:rFonts w:eastAsia="Calibri" w:cs="Calibri" w:ascii="Calibri" w:hAnsi="Calibri"/>
          <w:b/>
          <w:bCs/>
          <w:sz w:val="24"/>
          <w:szCs w:val="24"/>
        </w:rPr>
        <w:t xml:space="preserve"> </w:t>
      </w:r>
    </w:p>
    <w:p>
      <w:pPr>
        <w:pStyle w:val="normal1"/>
        <w:shd w:val="clear" w:fill="FCFDFE"/>
        <w:spacing w:lineRule="auto" w:line="276" w:before="0" w:after="200"/>
        <w:jc w:val="center"/>
        <w:rPr>
          <w:rFonts w:ascii="Calibri" w:hAnsi="Calibri" w:eastAsia="Calibri" w:cs="Calibri"/>
          <w:b/>
          <w:bCs/>
          <w:sz w:val="24"/>
          <w:szCs w:val="24"/>
        </w:rPr>
      </w:pPr>
      <w:r>
        <w:rPr>
          <w:rFonts w:eastAsia="Calibri" w:cs="Calibri" w:ascii="Calibri" w:hAnsi="Calibri"/>
          <w:b/>
          <w:bCs/>
          <w:sz w:val="24"/>
          <w:szCs w:val="24"/>
        </w:rPr>
        <w:t>I)En Maldonado, dispónese el inicio de acciones judiciales contra la empr</w:t>
      </w:r>
      <w:r>
        <w:rPr>
          <w:rFonts w:eastAsia="Calibri" w:cs="Calibri" w:ascii="Calibri" w:hAnsi="Calibri"/>
          <w:b/>
          <w:bCs/>
          <w:sz w:val="24"/>
          <w:szCs w:val="24"/>
        </w:rPr>
        <w:t>esa COOPERATIVA COVISIP II (CO.VI.SIP.II), por la deuda que por concepto de canones impagos relacionados a la Licitación Pública N° 28/2016 a favor de la referida cooperativa, en carácter de préstamo con cargo al Fondo Rotatorio de Vivienda; generados en los ejercicios 2014/2025 po</w:t>
      </w:r>
      <w:r>
        <w:rPr>
          <w:rFonts w:eastAsia="Calibri" w:cs="Calibri" w:ascii="Calibri" w:hAnsi="Calibri"/>
          <w:b/>
          <w:bCs/>
          <w:sz w:val="24"/>
          <w:szCs w:val="24"/>
        </w:rPr>
        <w:t xml:space="preserve">r la suma de $ </w:t>
      </w:r>
      <w:r>
        <w:rPr>
          <w:rFonts w:eastAsia="Calibri" w:cs="Calibri" w:ascii="Calibri" w:hAnsi="Calibri"/>
          <w:b/>
          <w:bCs/>
          <w:sz w:val="28"/>
          <w:szCs w:val="28"/>
          <w:highlight w:val="white"/>
        </w:rPr>
        <w:t>2.123.211</w:t>
      </w:r>
      <w:r>
        <w:rPr>
          <w:rFonts w:eastAsia="Calibri" w:cs="Calibri" w:ascii="Calibri" w:hAnsi="Calibri"/>
          <w:b/>
          <w:bCs/>
          <w:sz w:val="24"/>
          <w:szCs w:val="24"/>
        </w:rPr>
        <w:t xml:space="preserve">, cuyo detalle surge de la actuación </w:t>
      </w:r>
      <w:r>
        <w:rPr>
          <w:rFonts w:eastAsia="Calibri" w:cs="Calibri" w:ascii="Calibri" w:hAnsi="Calibri"/>
          <w:b/>
          <w:bCs/>
          <w:sz w:val="24"/>
          <w:szCs w:val="24"/>
        </w:rPr>
        <w:t>81</w:t>
      </w:r>
      <w:r>
        <w:rPr>
          <w:rFonts w:eastAsia="Calibri" w:cs="Calibri" w:ascii="Calibri" w:hAnsi="Calibri"/>
          <w:b/>
          <w:bCs/>
          <w:sz w:val="24"/>
          <w:szCs w:val="24"/>
        </w:rPr>
        <w:t>, y que forma parte de la presente resolución, hasta su efectiva satisfacción.  II) Notifíquese a los interesados.</w:t>
      </w:r>
    </w:p>
    <w:p>
      <w:pPr>
        <w:pStyle w:val="normal1"/>
        <w:shd w:val="clear" w:fill="FCFDFE"/>
        <w:spacing w:lineRule="auto" w:line="276" w:before="0" w:after="200"/>
        <w:jc w:val="center"/>
        <w:rPr>
          <w:rFonts w:ascii="Calibri" w:hAnsi="Calibri" w:eastAsia="Calibri" w:cs="Calibri"/>
          <w:b/>
          <w:bCs/>
          <w:sz w:val="24"/>
          <w:szCs w:val="24"/>
        </w:rPr>
      </w:pPr>
      <w:r>
        <w:rPr>
          <w:rFonts w:eastAsia="Calibri" w:cs="Calibri" w:ascii="Calibri" w:hAnsi="Calibri"/>
          <w:b/>
          <w:bCs/>
          <w:sz w:val="24"/>
          <w:szCs w:val="24"/>
        </w:rPr>
        <w:t xml:space="preserve"> </w:t>
      </w:r>
    </w:p>
    <w:p>
      <w:pPr>
        <w:pStyle w:val="normal1"/>
        <w:shd w:val="clear" w:fill="FCFDFE"/>
        <w:spacing w:lineRule="auto" w:line="276" w:before="0" w:after="200"/>
        <w:jc w:val="center"/>
        <w:rPr>
          <w:rFonts w:ascii="Calibri" w:hAnsi="Calibri" w:eastAsia="Calibri" w:cs="Calibri"/>
          <w:b/>
          <w:bCs/>
          <w:sz w:val="24"/>
          <w:szCs w:val="24"/>
        </w:rPr>
      </w:pPr>
      <w:r>
        <w:rPr>
          <w:rFonts w:eastAsia="Calibri" w:cs="Calibri" w:ascii="Calibri" w:hAnsi="Calibri"/>
          <w:b/>
          <w:bCs/>
          <w:sz w:val="24"/>
          <w:szCs w:val="24"/>
        </w:rPr>
        <w:t>La presente notificación se realiza a los efectos de que el interesado concurra a notificarse en la oficina dentro del plazo de 10 días corridos a contar desde el siguiente al de la última publicación, bajo apercibimiento de darlo por notificado, al amparo del artículo 51° del Código Tributario y Digesto Departamental de Maldonado. El mencionado expediente se encuentra disponible en el Departamento de Ingresos Públicos de la Intendencia en el horario de 9.15 a 14.45.</w:t>
      </w:r>
    </w:p>
    <w:p>
      <w:pPr>
        <w:pStyle w:val="normal1"/>
        <w:rPr/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alibri">
    <w:charset w:val="00" w:characterSet="windows-1252"/>
    <w:family w:val="roman"/>
    <w:pitch w:val="variable"/>
  </w:font>
  <w:font w:name="Verdana">
    <w:charset w:val="00" w:characterSet="windows-1252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s-E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s-E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s-E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18</TotalTime>
  <Application>LibreOffice/25.8.6.2$Windows_X86_64 LibreOffice_project/b4b39682cd9868fa725bc664aff94278d315bd04</Application>
  <AppVersion>15.0000</AppVersion>
  <Pages>1</Pages>
  <Words>209</Words>
  <Characters>1168</Characters>
  <CharactersWithSpaces>1376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es-UY</dc:language>
  <cp:lastModifiedBy/>
  <cp:lastPrinted>2026-05-19T10:50:45Z</cp:lastPrinted>
  <dcterms:modified xsi:type="dcterms:W3CDTF">2026-05-19T10:50:37Z</dcterms:modified>
  <cp:revision>3</cp:revision>
  <dc:subject/>
  <dc:title/>
</cp:coreProperties>
</file>